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360" w:lineRule="auto"/>
        <w:jc w:val="center"/>
        <w:rPr>
          <w:rFonts w:ascii="Times New Roman" w:hAnsi="Times New Roman" w:eastAsia="仿宋" w:cs="Times New Roman"/>
          <w:b/>
          <w:bCs/>
          <w:sz w:val="44"/>
          <w:szCs w:val="44"/>
        </w:rPr>
      </w:pPr>
      <w:r>
        <w:rPr>
          <w:rFonts w:ascii="Times New Roman" w:hAnsi="Times New Roman" w:eastAsia="仿宋" w:cs="Times New Roman"/>
          <w:b/>
          <w:bCs/>
          <w:sz w:val="44"/>
          <w:szCs w:val="44"/>
        </w:rPr>
        <w:t>创新人才教育研究会2022年度课题指南</w:t>
      </w:r>
    </w:p>
    <w:p>
      <w:pPr>
        <w:snapToGrid w:val="0"/>
        <w:spacing w:line="360" w:lineRule="auto"/>
        <w:rPr>
          <w:rFonts w:ascii="Times New Roman" w:hAnsi="Times New Roman" w:eastAsia="仿宋" w:cs="Times New Roman"/>
          <w:sz w:val="32"/>
          <w:szCs w:val="32"/>
        </w:rPr>
      </w:pPr>
    </w:p>
    <w:p>
      <w:pPr>
        <w:snapToGrid w:val="0"/>
        <w:spacing w:line="360" w:lineRule="auto"/>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为深入贯彻习近平总书记关于教育的重要论述，更好地服务国家教育改革与发展的总体目标，集中破解创新人才教育研究中的热点、难点问题，激发各类人才创新活力，为夯实创新发展人才基础、提升国家创新体系整体效能做出本</w:t>
      </w:r>
      <w:r>
        <w:rPr>
          <w:rFonts w:hint="eastAsia" w:ascii="Times New Roman" w:hAnsi="Times New Roman" w:eastAsia="仿宋" w:cs="Times New Roman"/>
          <w:sz w:val="32"/>
          <w:szCs w:val="32"/>
        </w:rPr>
        <w:t>研究</w:t>
      </w:r>
      <w:r>
        <w:rPr>
          <w:rFonts w:ascii="Times New Roman" w:hAnsi="Times New Roman" w:eastAsia="仿宋" w:cs="Times New Roman"/>
          <w:sz w:val="32"/>
          <w:szCs w:val="32"/>
        </w:rPr>
        <w:t>会应有的贡献，特制定本课题指南。</w:t>
      </w:r>
    </w:p>
    <w:p>
      <w:pPr>
        <w:snapToGrid w:val="0"/>
        <w:spacing w:line="360" w:lineRule="auto"/>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该指南旨在引导教育科研规划和课题研究在关注前沿问题、重视理论研究的同时，着力加强实践需要的各项应用研究，协调好各方面研究力量，加强研究的前瞻性、理论性、创新性、指导性</w:t>
      </w:r>
      <w:r>
        <w:rPr>
          <w:rFonts w:hint="eastAsia" w:ascii="Times New Roman" w:hAnsi="Times New Roman" w:eastAsia="仿宋" w:cs="Times New Roman"/>
          <w:sz w:val="32"/>
          <w:szCs w:val="32"/>
        </w:rPr>
        <w:t>，</w:t>
      </w:r>
      <w:r>
        <w:rPr>
          <w:rFonts w:ascii="Times New Roman" w:hAnsi="Times New Roman" w:eastAsia="仿宋" w:cs="Times New Roman"/>
          <w:sz w:val="32"/>
          <w:szCs w:val="32"/>
        </w:rPr>
        <w:t>为中国特色创新人才教育的理论和实践体系的形成做出贡献。建议课题如下：</w:t>
      </w:r>
    </w:p>
    <w:p>
      <w:pPr>
        <w:snapToGrid w:val="0"/>
        <w:spacing w:line="360" w:lineRule="auto"/>
        <w:ind w:firstLine="643" w:firstLineChars="200"/>
        <w:rPr>
          <w:rFonts w:ascii="Times New Roman" w:hAnsi="Times New Roman" w:eastAsia="仿宋" w:cs="Times New Roman"/>
          <w:b/>
          <w:bCs/>
          <w:sz w:val="32"/>
          <w:szCs w:val="32"/>
        </w:rPr>
      </w:pPr>
      <w:r>
        <w:rPr>
          <w:rFonts w:ascii="Times New Roman" w:hAnsi="Times New Roman" w:eastAsia="仿宋" w:cs="Times New Roman"/>
          <w:b/>
          <w:bCs/>
          <w:sz w:val="32"/>
          <w:szCs w:val="32"/>
        </w:rPr>
        <w:t>一、文献研究</w:t>
      </w:r>
    </w:p>
    <w:p>
      <w:pPr>
        <w:snapToGrid w:val="0"/>
        <w:spacing w:line="360" w:lineRule="auto"/>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1.1  创新人才教育的文献资源库建设；</w:t>
      </w:r>
    </w:p>
    <w:p>
      <w:pPr>
        <w:snapToGrid w:val="0"/>
        <w:spacing w:line="360" w:lineRule="auto"/>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1.2  创新人才教育的政策文献研究；</w:t>
      </w:r>
    </w:p>
    <w:p>
      <w:pPr>
        <w:snapToGrid w:val="0"/>
        <w:spacing w:line="360" w:lineRule="auto"/>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1.3  中国古代及近现代创新人才教育史研究</w:t>
      </w:r>
      <w:r>
        <w:rPr>
          <w:rFonts w:hint="eastAsia" w:ascii="Times New Roman" w:hAnsi="Times New Roman" w:eastAsia="仿宋" w:cs="Times New Roman"/>
          <w:sz w:val="32"/>
          <w:szCs w:val="32"/>
        </w:rPr>
        <w:t>；</w:t>
      </w:r>
    </w:p>
    <w:p>
      <w:pPr>
        <w:snapToGrid w:val="0"/>
        <w:spacing w:line="360" w:lineRule="auto"/>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1.4  创新人才教育成功实践案例资源库建设；</w:t>
      </w:r>
    </w:p>
    <w:p>
      <w:pPr>
        <w:snapToGrid w:val="0"/>
        <w:spacing w:line="360" w:lineRule="auto"/>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1.5  与我国创新人才教育有关的海外文献研究。</w:t>
      </w:r>
    </w:p>
    <w:p>
      <w:pPr>
        <w:snapToGrid w:val="0"/>
        <w:spacing w:line="360" w:lineRule="auto"/>
        <w:ind w:firstLine="640" w:firstLineChars="200"/>
        <w:rPr>
          <w:rFonts w:ascii="Times New Roman" w:hAnsi="Times New Roman" w:eastAsia="仿宋" w:cs="Times New Roman"/>
          <w:b/>
          <w:bCs/>
          <w:sz w:val="32"/>
          <w:szCs w:val="32"/>
        </w:rPr>
      </w:pPr>
      <w:r>
        <w:rPr>
          <w:rFonts w:ascii="Times New Roman" w:hAnsi="Times New Roman" w:eastAsia="仿宋" w:cs="Times New Roman"/>
          <w:sz w:val="32"/>
          <w:szCs w:val="32"/>
        </w:rPr>
        <w:t xml:space="preserve"> </w:t>
      </w:r>
      <w:r>
        <w:rPr>
          <w:rFonts w:ascii="Times New Roman" w:hAnsi="Times New Roman" w:eastAsia="仿宋" w:cs="Times New Roman"/>
          <w:b/>
          <w:bCs/>
          <w:sz w:val="32"/>
          <w:szCs w:val="32"/>
        </w:rPr>
        <w:t>二、理论研究</w:t>
      </w:r>
    </w:p>
    <w:p>
      <w:pPr>
        <w:snapToGrid w:val="0"/>
        <w:spacing w:line="360" w:lineRule="auto"/>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2.1  对习近平总书记关于教育重要论述的研究及新时代教育德智体美劳五育评价体系研究；</w:t>
      </w:r>
    </w:p>
    <w:p>
      <w:pPr>
        <w:snapToGrid w:val="0"/>
        <w:spacing w:line="360" w:lineRule="auto"/>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2.2  具有创新人才潜质的学习者的基本特征、行为表现和价值观特点研究；</w:t>
      </w:r>
    </w:p>
    <w:p>
      <w:pPr>
        <w:snapToGrid w:val="0"/>
        <w:spacing w:line="360" w:lineRule="auto"/>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2.3  创新人才的学识、能力和品德评价标准</w:t>
      </w:r>
      <w:r>
        <w:rPr>
          <w:rFonts w:hint="eastAsia" w:ascii="Times New Roman" w:hAnsi="Times New Roman" w:eastAsia="仿宋" w:cs="Times New Roman"/>
          <w:sz w:val="32"/>
          <w:szCs w:val="32"/>
        </w:rPr>
        <w:t>，</w:t>
      </w:r>
      <w:r>
        <w:rPr>
          <w:rFonts w:ascii="Times New Roman" w:hAnsi="Times New Roman" w:eastAsia="仿宋" w:cs="Times New Roman"/>
          <w:sz w:val="32"/>
          <w:szCs w:val="32"/>
        </w:rPr>
        <w:t>创新人才成长规律性及其培养模式</w:t>
      </w:r>
      <w:r>
        <w:rPr>
          <w:rFonts w:hint="eastAsia" w:ascii="Times New Roman" w:hAnsi="Times New Roman" w:eastAsia="仿宋" w:cs="Times New Roman"/>
          <w:sz w:val="32"/>
          <w:szCs w:val="32"/>
        </w:rPr>
        <w:t>；</w:t>
      </w:r>
    </w:p>
    <w:p>
      <w:pPr>
        <w:snapToGrid w:val="0"/>
        <w:spacing w:line="360" w:lineRule="auto"/>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2.4   两院院士科学成就的要素分析与能力指标研究；</w:t>
      </w:r>
    </w:p>
    <w:p>
      <w:pPr>
        <w:snapToGrid w:val="0"/>
        <w:spacing w:line="360" w:lineRule="auto"/>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2.5   创新人才教育与教师专业素养研究；</w:t>
      </w:r>
    </w:p>
    <w:p>
      <w:pPr>
        <w:snapToGrid w:val="0"/>
        <w:spacing w:line="360" w:lineRule="auto"/>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2.6   创新人才培养的顶层设计及项</w:t>
      </w:r>
      <w:bookmarkStart w:id="0" w:name="_GoBack"/>
      <w:bookmarkEnd w:id="0"/>
      <w:r>
        <w:rPr>
          <w:rFonts w:ascii="Times New Roman" w:hAnsi="Times New Roman" w:eastAsia="仿宋" w:cs="Times New Roman"/>
          <w:sz w:val="32"/>
          <w:szCs w:val="32"/>
        </w:rPr>
        <w:t>目规划与实践策略研究。</w:t>
      </w:r>
    </w:p>
    <w:p>
      <w:pPr>
        <w:snapToGrid w:val="0"/>
        <w:spacing w:line="360" w:lineRule="auto"/>
        <w:ind w:firstLine="643" w:firstLineChars="200"/>
        <w:rPr>
          <w:rFonts w:ascii="Times New Roman" w:hAnsi="Times New Roman" w:eastAsia="仿宋" w:cs="Times New Roman"/>
          <w:b/>
          <w:bCs/>
          <w:sz w:val="32"/>
          <w:szCs w:val="32"/>
        </w:rPr>
      </w:pPr>
      <w:r>
        <w:rPr>
          <w:rFonts w:ascii="Times New Roman" w:hAnsi="Times New Roman" w:eastAsia="仿宋" w:cs="Times New Roman"/>
          <w:b/>
          <w:bCs/>
          <w:sz w:val="32"/>
          <w:szCs w:val="32"/>
        </w:rPr>
        <w:t>三、实践研究</w:t>
      </w:r>
    </w:p>
    <w:p>
      <w:pPr>
        <w:snapToGrid w:val="0"/>
        <w:spacing w:line="360" w:lineRule="auto"/>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3.1  杰出创新人才的实证案例研究；</w:t>
      </w:r>
    </w:p>
    <w:p>
      <w:pPr>
        <w:snapToGrid w:val="0"/>
        <w:spacing w:line="360" w:lineRule="auto"/>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3.2  国内现有创新人才教育实践探索的现状、经验及其启示；</w:t>
      </w:r>
    </w:p>
    <w:p>
      <w:pPr>
        <w:snapToGrid w:val="0"/>
        <w:spacing w:line="360" w:lineRule="auto"/>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3.3  培养青少年创新意识、实践能力与社会责任感的课程（或特色活动）规划与教学实践；</w:t>
      </w:r>
    </w:p>
    <w:p>
      <w:pPr>
        <w:snapToGrid w:val="0"/>
        <w:spacing w:line="360" w:lineRule="auto"/>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3.4  旨在培养创新人才的学科发展、跨学科发展及综合发展项目的实验研究与行动研究的校本案例与经验总结研究；</w:t>
      </w:r>
    </w:p>
    <w:p>
      <w:pPr>
        <w:snapToGrid w:val="0"/>
        <w:spacing w:line="360" w:lineRule="auto"/>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3.5  创新人才教育（实践经验）的教育教学实践策略研究；</w:t>
      </w:r>
    </w:p>
    <w:p>
      <w:pPr>
        <w:snapToGrid w:val="0"/>
        <w:spacing w:line="360" w:lineRule="auto"/>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3.6   创新人才早期发现和早期培养的心理健康引领</w:t>
      </w:r>
      <w:r>
        <w:rPr>
          <w:rFonts w:hint="eastAsia" w:ascii="Times New Roman" w:hAnsi="Times New Roman" w:eastAsia="仿宋" w:cs="Times New Roman"/>
          <w:sz w:val="32"/>
          <w:szCs w:val="32"/>
        </w:rPr>
        <w:t>实践研究</w:t>
      </w:r>
      <w:r>
        <w:rPr>
          <w:rFonts w:ascii="Times New Roman" w:hAnsi="Times New Roman" w:eastAsia="仿宋" w:cs="Times New Roman"/>
          <w:sz w:val="32"/>
          <w:szCs w:val="32"/>
        </w:rPr>
        <w:t>；</w:t>
      </w:r>
    </w:p>
    <w:p>
      <w:pPr>
        <w:snapToGrid w:val="0"/>
        <w:spacing w:line="360" w:lineRule="auto"/>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3.7  教育信息化在创新人才培养中的应用、在线教学模式及资源硏究、双师教学研究、教育媒介创新及新产品运用</w:t>
      </w:r>
      <w:r>
        <w:rPr>
          <w:rFonts w:hint="eastAsia" w:ascii="Times New Roman" w:hAnsi="Times New Roman" w:eastAsia="仿宋" w:cs="Times New Roman"/>
          <w:sz w:val="32"/>
          <w:szCs w:val="32"/>
        </w:rPr>
        <w:t>实践</w:t>
      </w:r>
      <w:r>
        <w:rPr>
          <w:rFonts w:ascii="Times New Roman" w:hAnsi="Times New Roman" w:eastAsia="仿宋" w:cs="Times New Roman"/>
          <w:sz w:val="32"/>
          <w:szCs w:val="32"/>
        </w:rPr>
        <w:t>研究；</w:t>
      </w:r>
    </w:p>
    <w:p>
      <w:pPr>
        <w:snapToGrid w:val="0"/>
        <w:spacing w:line="360" w:lineRule="auto"/>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3.8   “双减”政策下创新人才培养实践研究；</w:t>
      </w:r>
    </w:p>
    <w:p>
      <w:pPr>
        <w:snapToGrid w:val="0"/>
        <w:spacing w:line="360" w:lineRule="auto"/>
        <w:ind w:firstLine="640" w:firstLineChars="200"/>
        <w:rPr>
          <w:rFonts w:ascii="Times New Roman" w:hAnsi="Times New Roman" w:eastAsia="仿宋" w:cs="Times New Roman"/>
          <w:sz w:val="32"/>
          <w:szCs w:val="32"/>
          <w:highlight w:val="none"/>
        </w:rPr>
      </w:pPr>
      <w:r>
        <w:rPr>
          <w:rFonts w:ascii="Times New Roman" w:hAnsi="Times New Roman" w:eastAsia="仿宋" w:cs="Times New Roman"/>
          <w:sz w:val="32"/>
          <w:szCs w:val="32"/>
          <w:highlight w:val="none"/>
        </w:rPr>
        <w:t xml:space="preserve">3.9  </w:t>
      </w:r>
      <w:r>
        <w:rPr>
          <w:rFonts w:hint="eastAsia" w:ascii="Times New Roman" w:hAnsi="Times New Roman" w:eastAsia="仿宋" w:cs="Times New Roman"/>
          <w:sz w:val="32"/>
          <w:szCs w:val="32"/>
          <w:highlight w:val="none"/>
        </w:rPr>
        <w:t xml:space="preserve"> 指向核心素养的教育教学设计实践研究；</w:t>
      </w:r>
    </w:p>
    <w:p>
      <w:pPr>
        <w:snapToGrid w:val="0"/>
        <w:spacing w:line="360" w:lineRule="auto"/>
        <w:ind w:firstLine="640" w:firstLineChars="200"/>
        <w:rPr>
          <w:rFonts w:ascii="Times New Roman" w:hAnsi="Times New Roman" w:eastAsia="仿宋" w:cs="Times New Roman"/>
          <w:sz w:val="32"/>
          <w:szCs w:val="32"/>
          <w:highlight w:val="none"/>
        </w:rPr>
      </w:pPr>
      <w:r>
        <w:rPr>
          <w:rFonts w:hint="eastAsia" w:ascii="Times New Roman" w:hAnsi="Times New Roman" w:eastAsia="仿宋" w:cs="Times New Roman"/>
          <w:sz w:val="32"/>
          <w:szCs w:val="32"/>
          <w:highlight w:val="none"/>
        </w:rPr>
        <w:t>3.10 德育教育在创新人才培养中的地位作用及德育教育案例和实践研究；</w:t>
      </w:r>
    </w:p>
    <w:p>
      <w:pPr>
        <w:snapToGrid w:val="0"/>
        <w:spacing w:line="360" w:lineRule="auto"/>
        <w:ind w:firstLine="640" w:firstLineChars="200"/>
        <w:rPr>
          <w:rFonts w:ascii="Times New Roman" w:hAnsi="Times New Roman" w:eastAsia="仿宋" w:cs="Times New Roman"/>
          <w:sz w:val="32"/>
          <w:szCs w:val="32"/>
          <w:highlight w:val="none"/>
        </w:rPr>
      </w:pPr>
      <w:r>
        <w:rPr>
          <w:rFonts w:hint="eastAsia" w:ascii="Times New Roman" w:hAnsi="Times New Roman" w:eastAsia="仿宋" w:cs="Times New Roman"/>
          <w:sz w:val="32"/>
          <w:szCs w:val="32"/>
          <w:highlight w:val="none"/>
        </w:rPr>
        <w:t>3.11 课堂教学改革与创新在创新人才培养中的案例研究及实践研究；</w:t>
      </w:r>
    </w:p>
    <w:p>
      <w:pPr>
        <w:snapToGrid w:val="0"/>
        <w:spacing w:line="360" w:lineRule="auto"/>
        <w:ind w:firstLine="640" w:firstLineChars="200"/>
        <w:rPr>
          <w:rFonts w:ascii="Times New Roman" w:hAnsi="Times New Roman" w:eastAsia="仿宋" w:cs="Times New Roman"/>
          <w:sz w:val="32"/>
          <w:szCs w:val="32"/>
          <w:highlight w:val="none"/>
        </w:rPr>
      </w:pPr>
      <w:r>
        <w:rPr>
          <w:rFonts w:hint="eastAsia" w:ascii="Times New Roman" w:hAnsi="Times New Roman" w:eastAsia="仿宋" w:cs="Times New Roman"/>
          <w:sz w:val="32"/>
          <w:szCs w:val="32"/>
          <w:highlight w:val="none"/>
        </w:rPr>
        <w:t>3.12 面向创新人才培养的教研改进和教学评估体系改革案例研究及实践研究；</w:t>
      </w:r>
    </w:p>
    <w:p>
      <w:pPr>
        <w:snapToGrid w:val="0"/>
        <w:spacing w:line="360" w:lineRule="auto"/>
        <w:ind w:firstLine="640" w:firstLineChars="200"/>
        <w:rPr>
          <w:rFonts w:ascii="Times New Roman" w:hAnsi="Times New Roman" w:eastAsia="仿宋" w:cs="Times New Roman"/>
          <w:sz w:val="32"/>
          <w:szCs w:val="32"/>
          <w:highlight w:val="none"/>
        </w:rPr>
      </w:pPr>
      <w:r>
        <w:rPr>
          <w:rFonts w:hint="eastAsia" w:ascii="Times New Roman" w:hAnsi="Times New Roman" w:eastAsia="仿宋" w:cs="Times New Roman"/>
          <w:sz w:val="32"/>
          <w:szCs w:val="32"/>
          <w:highlight w:val="none"/>
        </w:rPr>
        <w:t>3.13 县域义务教育优质均衡发展与创新人才培养相结合的案例研究和实践研究；</w:t>
      </w:r>
    </w:p>
    <w:p>
      <w:pPr>
        <w:snapToGrid w:val="0"/>
        <w:spacing w:line="360" w:lineRule="auto"/>
        <w:ind w:firstLine="640" w:firstLineChars="200"/>
        <w:rPr>
          <w:rFonts w:ascii="Times New Roman" w:hAnsi="Times New Roman" w:eastAsia="仿宋" w:cs="Times New Roman"/>
          <w:sz w:val="32"/>
          <w:szCs w:val="32"/>
        </w:rPr>
      </w:pPr>
      <w:r>
        <w:rPr>
          <w:rFonts w:hint="eastAsia" w:ascii="Times New Roman" w:hAnsi="Times New Roman" w:eastAsia="仿宋" w:cs="Times New Roman"/>
          <w:sz w:val="32"/>
          <w:szCs w:val="32"/>
          <w:highlight w:val="none"/>
        </w:rPr>
        <w:t xml:space="preserve">3.14 </w:t>
      </w:r>
      <w:r>
        <w:rPr>
          <w:rFonts w:ascii="Times New Roman" w:hAnsi="Times New Roman" w:eastAsia="仿宋" w:cs="Times New Roman"/>
          <w:sz w:val="32"/>
          <w:szCs w:val="32"/>
          <w:highlight w:val="none"/>
        </w:rPr>
        <w:t>创新人才培养实践中的</w:t>
      </w:r>
      <w:r>
        <w:rPr>
          <w:rFonts w:ascii="Times New Roman" w:hAnsi="Times New Roman" w:eastAsia="仿宋" w:cs="Times New Roman"/>
          <w:sz w:val="32"/>
          <w:szCs w:val="32"/>
        </w:rPr>
        <w:t>跨界教育、特殊教育、融合教育案例研究；</w:t>
      </w:r>
    </w:p>
    <w:p>
      <w:pPr>
        <w:snapToGrid w:val="0"/>
        <w:spacing w:line="360" w:lineRule="auto"/>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3.1</w:t>
      </w:r>
      <w:r>
        <w:rPr>
          <w:rFonts w:hint="eastAsia" w:ascii="Times New Roman" w:hAnsi="Times New Roman" w:eastAsia="仿宋" w:cs="Times New Roman"/>
          <w:sz w:val="32"/>
          <w:szCs w:val="32"/>
        </w:rPr>
        <w:t xml:space="preserve">5 </w:t>
      </w:r>
      <w:r>
        <w:rPr>
          <w:rFonts w:ascii="Times New Roman" w:hAnsi="Times New Roman" w:eastAsia="仿宋" w:cs="Times New Roman"/>
          <w:sz w:val="32"/>
          <w:szCs w:val="32"/>
        </w:rPr>
        <w:t>家庭教育在创新人才培养中的作用案例研究。</w:t>
      </w:r>
    </w:p>
    <w:p>
      <w:pPr>
        <w:snapToGrid w:val="0"/>
        <w:spacing w:line="360" w:lineRule="auto"/>
        <w:ind w:firstLine="643" w:firstLineChars="200"/>
        <w:rPr>
          <w:rFonts w:ascii="Times New Roman" w:hAnsi="Times New Roman" w:eastAsia="仿宋" w:cs="Times New Roman"/>
          <w:b/>
          <w:bCs/>
          <w:sz w:val="32"/>
          <w:szCs w:val="32"/>
        </w:rPr>
      </w:pPr>
      <w:r>
        <w:rPr>
          <w:rFonts w:ascii="Times New Roman" w:hAnsi="Times New Roman" w:eastAsia="仿宋" w:cs="Times New Roman"/>
          <w:b/>
          <w:bCs/>
          <w:sz w:val="32"/>
          <w:szCs w:val="32"/>
        </w:rPr>
        <w:t>四、政策研究</w:t>
      </w:r>
    </w:p>
    <w:p>
      <w:pPr>
        <w:snapToGrid w:val="0"/>
        <w:spacing w:line="360" w:lineRule="auto"/>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4.1  国际社会推进创新人才培养的重大政策和决策研究；</w:t>
      </w:r>
    </w:p>
    <w:p>
      <w:pPr>
        <w:snapToGrid w:val="0"/>
        <w:spacing w:line="360" w:lineRule="auto"/>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4.2  从创新人才教育成功实践案例反思并改革现行培养目标、课程教材和教育教学及招生等方面的有关政策研究；</w:t>
      </w:r>
    </w:p>
    <w:p>
      <w:pPr>
        <w:snapToGrid w:val="0"/>
        <w:spacing w:line="360" w:lineRule="auto"/>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4.3  创新人才教育实践的教育、财政支持政策和激励政策研究；</w:t>
      </w:r>
    </w:p>
    <w:p>
      <w:pPr>
        <w:snapToGrid w:val="0"/>
        <w:spacing w:line="360" w:lineRule="auto"/>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4.4  创新人才教育的师资培养政策和教师工作绩效评估政策等研究；</w:t>
      </w:r>
    </w:p>
    <w:p>
      <w:pPr>
        <w:snapToGrid w:val="0"/>
        <w:spacing w:line="360" w:lineRule="auto"/>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4.5   支持创新创业人才培养的职业教育政策研究；</w:t>
      </w:r>
    </w:p>
    <w:p>
      <w:pPr>
        <w:snapToGrid w:val="0"/>
        <w:spacing w:line="360" w:lineRule="auto"/>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4.6  支持创新人才培养的县域教育政策研究。</w:t>
      </w:r>
    </w:p>
    <w:p>
      <w:pPr>
        <w:snapToGrid w:val="0"/>
        <w:spacing w:line="360" w:lineRule="auto"/>
        <w:ind w:firstLine="643" w:firstLineChars="200"/>
        <w:rPr>
          <w:rFonts w:ascii="Times New Roman" w:hAnsi="Times New Roman" w:eastAsia="仿宋" w:cs="Times New Roman"/>
          <w:b/>
          <w:bCs/>
          <w:sz w:val="32"/>
          <w:szCs w:val="32"/>
        </w:rPr>
      </w:pPr>
      <w:r>
        <w:rPr>
          <w:rFonts w:ascii="Times New Roman" w:hAnsi="Times New Roman" w:eastAsia="仿宋" w:cs="Times New Roman"/>
          <w:b/>
          <w:bCs/>
          <w:sz w:val="32"/>
          <w:szCs w:val="32"/>
        </w:rPr>
        <w:t>五、制度研究</w:t>
      </w:r>
    </w:p>
    <w:p>
      <w:pPr>
        <w:snapToGrid w:val="0"/>
        <w:spacing w:line="360" w:lineRule="auto"/>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5.1  具有创新潜质儿童早期发现的评价标准及其机制研究；</w:t>
      </w:r>
    </w:p>
    <w:p>
      <w:pPr>
        <w:snapToGrid w:val="0"/>
        <w:spacing w:line="360" w:lineRule="auto"/>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5.2  建立有益于创新人才脱颖而出的学习方法指导、教学指导、管理工作与绩效评估的制度研究；</w:t>
      </w:r>
    </w:p>
    <w:p>
      <w:pPr>
        <w:snapToGrid w:val="0"/>
        <w:spacing w:line="360" w:lineRule="auto"/>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5.3  创新人才教育实践对于改革和完善现行教育与教学制度的互动关系研究。</w:t>
      </w:r>
    </w:p>
    <w:p>
      <w:pPr>
        <w:snapToGrid w:val="0"/>
        <w:spacing w:line="360" w:lineRule="auto"/>
        <w:ind w:firstLine="643" w:firstLineChars="200"/>
        <w:rPr>
          <w:rFonts w:ascii="Times New Roman" w:hAnsi="Times New Roman" w:eastAsia="仿宋" w:cs="Times New Roman"/>
          <w:b/>
          <w:bCs/>
          <w:sz w:val="32"/>
          <w:szCs w:val="32"/>
        </w:rPr>
      </w:pPr>
      <w:r>
        <w:rPr>
          <w:rFonts w:ascii="Times New Roman" w:hAnsi="Times New Roman" w:eastAsia="仿宋" w:cs="Times New Roman"/>
          <w:b/>
          <w:bCs/>
          <w:sz w:val="32"/>
          <w:szCs w:val="32"/>
        </w:rPr>
        <w:t>六、比较研究</w:t>
      </w:r>
    </w:p>
    <w:p>
      <w:pPr>
        <w:snapToGrid w:val="0"/>
        <w:spacing w:line="360" w:lineRule="auto"/>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6.1  国内外创新人才及天才教育的理论、实践与政策的比较研究；</w:t>
      </w:r>
    </w:p>
    <w:p>
      <w:pPr>
        <w:snapToGrid w:val="0"/>
        <w:spacing w:line="360" w:lineRule="auto"/>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6.2  国内外创新人才培养模式的比较研究与合作研究；</w:t>
      </w:r>
    </w:p>
    <w:p>
      <w:pPr>
        <w:snapToGrid w:val="0"/>
        <w:spacing w:line="360" w:lineRule="auto"/>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6.3  国内外创新创业人才的职业教育理论、实践与政策的比较研究。</w:t>
      </w:r>
    </w:p>
    <w:p>
      <w:pPr>
        <w:snapToGrid w:val="0"/>
        <w:spacing w:line="360" w:lineRule="auto"/>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 xml:space="preserve"> </w:t>
      </w:r>
    </w:p>
    <w:p>
      <w:pPr>
        <w:snapToGrid w:val="0"/>
        <w:spacing w:line="360" w:lineRule="auto"/>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本课题指南只是提供一个研究范围，在每一项研究范围内，都可以列出若干项小课题。申报研究课题的单位和个人，可以以本课题指南中的研究范围作为你的研究课题题目，也可以选择上述某一个研究范围并自列符合该研究范围的小课题题目。我们提倡研究要突出“小、精、实、新”的特点，切忌“大、泛、空、重复”的弊病。</w:t>
      </w:r>
    </w:p>
    <w:sectPr>
      <w:pgSz w:w="11904" w:h="16840"/>
      <w:pgMar w:top="1440" w:right="1797" w:bottom="1440" w:left="1797" w:header="720" w:footer="992" w:gutter="0"/>
      <w:cols w:space="198" w:num="1"/>
      <w:titlePg/>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微软雅黑 Light">
    <w:panose1 w:val="020B0502040204020203"/>
    <w:charset w:val="86"/>
    <w:family w:val="swiss"/>
    <w:pitch w:val="default"/>
    <w:sig w:usb0="80000287" w:usb1="2ACF0010" w:usb2="00000016" w:usb3="00000000" w:csb0="0004001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1"/>
  <w:bordersDoNotSurroundFooter w:val="1"/>
  <w:documentProtection w:enforcement="0"/>
  <w:defaultTabStop w:val="420"/>
  <w:evenAndOddHeaders w:val="1"/>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7A86"/>
    <w:rsid w:val="00040BB5"/>
    <w:rsid w:val="00081B81"/>
    <w:rsid w:val="00083D1B"/>
    <w:rsid w:val="000D0256"/>
    <w:rsid w:val="000F14E1"/>
    <w:rsid w:val="00190283"/>
    <w:rsid w:val="001B568E"/>
    <w:rsid w:val="001E4C82"/>
    <w:rsid w:val="001E7BB7"/>
    <w:rsid w:val="001F3FB9"/>
    <w:rsid w:val="00216BE2"/>
    <w:rsid w:val="00225978"/>
    <w:rsid w:val="00247717"/>
    <w:rsid w:val="0025714B"/>
    <w:rsid w:val="00281AD4"/>
    <w:rsid w:val="002B114C"/>
    <w:rsid w:val="002E2FDC"/>
    <w:rsid w:val="00317A86"/>
    <w:rsid w:val="00362270"/>
    <w:rsid w:val="0039302D"/>
    <w:rsid w:val="003A7F0C"/>
    <w:rsid w:val="003D6BEA"/>
    <w:rsid w:val="005014F8"/>
    <w:rsid w:val="00505466"/>
    <w:rsid w:val="00543065"/>
    <w:rsid w:val="005E2A2A"/>
    <w:rsid w:val="006049F2"/>
    <w:rsid w:val="00607B83"/>
    <w:rsid w:val="006453FE"/>
    <w:rsid w:val="00664FE6"/>
    <w:rsid w:val="006855A5"/>
    <w:rsid w:val="0069102F"/>
    <w:rsid w:val="006A430E"/>
    <w:rsid w:val="006C5E41"/>
    <w:rsid w:val="006F2CD0"/>
    <w:rsid w:val="00721C88"/>
    <w:rsid w:val="00735A76"/>
    <w:rsid w:val="007B2D7A"/>
    <w:rsid w:val="007F670E"/>
    <w:rsid w:val="008808A6"/>
    <w:rsid w:val="00911B40"/>
    <w:rsid w:val="00956EC1"/>
    <w:rsid w:val="00993142"/>
    <w:rsid w:val="00997032"/>
    <w:rsid w:val="00A11FA5"/>
    <w:rsid w:val="00AF0167"/>
    <w:rsid w:val="00B446B6"/>
    <w:rsid w:val="00B666C5"/>
    <w:rsid w:val="00B71606"/>
    <w:rsid w:val="00B76B05"/>
    <w:rsid w:val="00BB0C62"/>
    <w:rsid w:val="00C31A19"/>
    <w:rsid w:val="00C5675F"/>
    <w:rsid w:val="00C95739"/>
    <w:rsid w:val="00CB50BE"/>
    <w:rsid w:val="00D4672B"/>
    <w:rsid w:val="00D61BF1"/>
    <w:rsid w:val="00D71F24"/>
    <w:rsid w:val="00DE1557"/>
    <w:rsid w:val="00E35796"/>
    <w:rsid w:val="00EA04C9"/>
    <w:rsid w:val="00EB2BF8"/>
    <w:rsid w:val="00EE7F44"/>
    <w:rsid w:val="00F10EF1"/>
    <w:rsid w:val="00F15312"/>
    <w:rsid w:val="00F25E5C"/>
    <w:rsid w:val="00F9343A"/>
    <w:rsid w:val="00FF1BAC"/>
    <w:rsid w:val="046B3B5D"/>
    <w:rsid w:val="0CC728C6"/>
    <w:rsid w:val="33056D4B"/>
    <w:rsid w:val="3E6F601B"/>
    <w:rsid w:val="40AA436A"/>
    <w:rsid w:val="47893DBF"/>
    <w:rsid w:val="61D878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0"/>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5"/>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7">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4">
    <w:name w:val="footer"/>
    <w:basedOn w:val="1"/>
    <w:link w:val="17"/>
    <w:unhideWhenUsed/>
    <w:qFormat/>
    <w:uiPriority w:val="99"/>
    <w:pPr>
      <w:tabs>
        <w:tab w:val="center" w:pos="4153"/>
        <w:tab w:val="right" w:pos="8306"/>
      </w:tabs>
      <w:snapToGrid w:val="0"/>
      <w:jc w:val="left"/>
    </w:pPr>
    <w:rPr>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8">
    <w:name w:val="一标题"/>
    <w:basedOn w:val="2"/>
    <w:link w:val="9"/>
    <w:qFormat/>
    <w:uiPriority w:val="0"/>
    <w:pPr>
      <w:spacing w:before="0" w:after="0" w:line="240" w:lineRule="auto"/>
      <w:ind w:left="210" w:leftChars="100" w:right="100" w:rightChars="100"/>
      <w:jc w:val="center"/>
    </w:pPr>
    <w:rPr>
      <w:rFonts w:eastAsia="微软雅黑 Light"/>
      <w:sz w:val="32"/>
    </w:rPr>
  </w:style>
  <w:style w:type="character" w:customStyle="1" w:styleId="9">
    <w:name w:val="一标题 字符"/>
    <w:basedOn w:val="10"/>
    <w:link w:val="8"/>
    <w:qFormat/>
    <w:uiPriority w:val="0"/>
    <w:rPr>
      <w:rFonts w:eastAsia="微软雅黑 Light"/>
      <w:kern w:val="44"/>
      <w:sz w:val="32"/>
      <w:szCs w:val="44"/>
    </w:rPr>
  </w:style>
  <w:style w:type="character" w:customStyle="1" w:styleId="10">
    <w:name w:val="标题 1 字符"/>
    <w:basedOn w:val="7"/>
    <w:link w:val="2"/>
    <w:qFormat/>
    <w:uiPriority w:val="9"/>
    <w:rPr>
      <w:b/>
      <w:bCs/>
      <w:kern w:val="44"/>
      <w:sz w:val="44"/>
      <w:szCs w:val="44"/>
    </w:rPr>
  </w:style>
  <w:style w:type="paragraph" w:customStyle="1" w:styleId="11">
    <w:name w:val="二标题"/>
    <w:basedOn w:val="3"/>
    <w:link w:val="12"/>
    <w:qFormat/>
    <w:uiPriority w:val="0"/>
    <w:pPr>
      <w:spacing w:before="0" w:after="0" w:line="240" w:lineRule="auto"/>
      <w:jc w:val="left"/>
    </w:pPr>
    <w:rPr>
      <w:sz w:val="24"/>
    </w:rPr>
  </w:style>
  <w:style w:type="character" w:customStyle="1" w:styleId="12">
    <w:name w:val="二标题 字符"/>
    <w:basedOn w:val="7"/>
    <w:link w:val="11"/>
    <w:qFormat/>
    <w:uiPriority w:val="0"/>
    <w:rPr>
      <w:rFonts w:asciiTheme="majorHAnsi" w:hAnsiTheme="majorHAnsi" w:eastAsiaTheme="majorEastAsia" w:cstheme="majorBidi"/>
      <w:b/>
      <w:bCs/>
      <w:sz w:val="24"/>
      <w:szCs w:val="32"/>
    </w:rPr>
  </w:style>
  <w:style w:type="paragraph" w:customStyle="1" w:styleId="13">
    <w:name w:val="三标题"/>
    <w:basedOn w:val="1"/>
    <w:link w:val="14"/>
    <w:qFormat/>
    <w:uiPriority w:val="0"/>
  </w:style>
  <w:style w:type="character" w:customStyle="1" w:styleId="14">
    <w:name w:val="三标题 字符"/>
    <w:basedOn w:val="7"/>
    <w:link w:val="13"/>
    <w:qFormat/>
    <w:uiPriority w:val="0"/>
  </w:style>
  <w:style w:type="character" w:customStyle="1" w:styleId="15">
    <w:name w:val="标题 2 字符"/>
    <w:basedOn w:val="7"/>
    <w:link w:val="3"/>
    <w:semiHidden/>
    <w:qFormat/>
    <w:uiPriority w:val="9"/>
    <w:rPr>
      <w:rFonts w:asciiTheme="majorHAnsi" w:hAnsiTheme="majorHAnsi" w:eastAsiaTheme="majorEastAsia" w:cstheme="majorBidi"/>
      <w:b/>
      <w:bCs/>
      <w:sz w:val="32"/>
      <w:szCs w:val="32"/>
    </w:rPr>
  </w:style>
  <w:style w:type="character" w:customStyle="1" w:styleId="16">
    <w:name w:val="页眉 字符"/>
    <w:basedOn w:val="7"/>
    <w:link w:val="5"/>
    <w:qFormat/>
    <w:uiPriority w:val="99"/>
    <w:rPr>
      <w:sz w:val="18"/>
      <w:szCs w:val="18"/>
    </w:rPr>
  </w:style>
  <w:style w:type="character" w:customStyle="1" w:styleId="17">
    <w:name w:val="页脚 字符"/>
    <w:basedOn w:val="7"/>
    <w:link w:val="4"/>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Pages>
  <Words>254</Words>
  <Characters>1453</Characters>
  <Lines>12</Lines>
  <Paragraphs>3</Paragraphs>
  <TotalTime>3</TotalTime>
  <ScaleCrop>false</ScaleCrop>
  <LinksUpToDate>false</LinksUpToDate>
  <CharactersWithSpaces>1704</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2021-09-03T02:34:00Z</dcterms:created>
  <dc:creator>Gaonan Wang</dc:creator>
  <cp:lastModifiedBy>林子辰</cp:lastModifiedBy>
  <dcterms:modified xsi:type="dcterms:W3CDTF">2021-12-17T08:00:16Z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F907992BF50945EC833D5B45AE1E4A02</vt:lpwstr>
  </property>
</Properties>
</file>